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1584960" cy="5683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56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Gestión Institucional de Recursos Humanos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Arial" w:cs="Arial" w:eastAsia="Arial" w:hAnsi="Arial"/>
          <w:color w:val="0000ff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PROCESO GESTIÓN DEL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Arial" w:cs="Arial" w:eastAsia="Arial" w:hAnsi="Arial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highlight w:val="yellow"/>
          <w:vertAlign w:val="baseline"/>
          <w:rtl w:val="0"/>
        </w:rPr>
        <w:t xml:space="preserve">Por favor: lea el siguiente instructivo antes de iniciar el proceso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INSTRUCTIVO PARA  CONTRATOS DE ESTUDIO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Para que un/a   funcionario/funcionaria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MINISTERIO DE CULTURA Y JUVENTUD,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sus Dependencias y Adscritas pueda suscribir una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LICENCIA PARA CONTRATO DE ESTUDIO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deberá cumplir con los siguientes requisitos: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80" w:hanging="360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Ser funcionario/a regular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yellow"/>
          <w:u w:val="single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highlight w:val="yellow"/>
          <w:u w:val="single"/>
          <w:vertAlign w:val="baseline"/>
          <w:rtl w:val="0"/>
        </w:rPr>
        <w:t xml:space="preserve">PROPIEDAD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yellow"/>
          <w:u w:val="singl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highlight w:val="yellow"/>
          <w:u w:val="single"/>
          <w:vertAlign w:val="baseline"/>
          <w:rtl w:val="0"/>
        </w:rPr>
        <w:t xml:space="preserve">art. 3, inciso h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 del Reglamento al Estatuto de Servicio Civil). En el caso de funcionarios/as que ya poseen un grado académico universitario, la licencia será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ÚNICAMENTE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 para continuar con la misma disciplina académica que posee.(licenciatura, postgrados, doctorados).</w:t>
      </w:r>
    </w:p>
    <w:p w:rsidR="00000000" w:rsidDel="00000000" w:rsidP="00000000" w:rsidRDefault="00000000" w:rsidRPr="00000000">
      <w:pPr>
        <w:ind w:left="60" w:firstLine="0"/>
        <w:contextualSpacing w:val="0"/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80" w:hanging="36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La Resolución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DG-135-2013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de la DGSC, establece que el personal interino, los funcionarios/as nombrados a plazo fijo y los que no hayan aprobado el período de prueba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yellow"/>
          <w:vertAlign w:val="baseline"/>
          <w:rtl w:val="0"/>
        </w:rPr>
        <w:t xml:space="preserve">no están sujetos a la suscripción de Contratos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para Estudios ante la Dirección General de Servicio Civil.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8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Aval de la jefatura inmediata, o Director/a de la dependencia o adscrita, manifestando con su firma en el formulario denominado  “solicitud”, la anuencia que no perjudicará el servicio que brinda la Institución.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8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Presentar (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yellow"/>
          <w:vertAlign w:val="baseline"/>
          <w:rtl w:val="0"/>
        </w:rPr>
        <w:t xml:space="preserve">escaneados o digitalizados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 los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documentos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de matrícula y personales a esta oficina,  a más tardar dentro de los treinta días naturales, a partir de la fecha de inicio del curso, este plazo es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improrrogable.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8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highlight w:val="yellow"/>
          <w:u w:val="single"/>
          <w:vertAlign w:val="baseline"/>
          <w:rtl w:val="0"/>
        </w:rPr>
        <w:t xml:space="preserve">Antes de imprimir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yellow"/>
          <w:u w:val="single"/>
          <w:vertAlign w:val="baseline"/>
          <w:rtl w:val="0"/>
        </w:rPr>
        <w:t xml:space="preserve"> los documentos de “solicitud” y del “contrato” junto con todos los demás documentos anexos –cédulas, constancias salario, comprobante de matrícula, etc.- debe enviarlos por correo electrónico para la revisión respectiva a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yellow"/>
          <w:vertAlign w:val="baseline"/>
          <w:rtl w:val="0"/>
        </w:rPr>
        <w:t xml:space="preserve">: 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00"/>
            <w:sz w:val="18"/>
            <w:szCs w:val="18"/>
            <w:highlight w:val="yellow"/>
            <w:u w:val="none"/>
            <w:vertAlign w:val="baseline"/>
            <w:rtl w:val="0"/>
          </w:rPr>
          <w:t xml:space="preserve">golmos@mcj.go.cr</w:t>
        </w:r>
      </w:hyperlink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yellow"/>
          <w:vertAlign w:val="baseline"/>
          <w:rtl w:val="0"/>
        </w:rPr>
        <w:t xml:space="preserve">  o 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00"/>
            <w:sz w:val="18"/>
            <w:szCs w:val="18"/>
            <w:highlight w:val="yellow"/>
            <w:u w:val="none"/>
            <w:vertAlign w:val="baseline"/>
            <w:rtl w:val="0"/>
          </w:rPr>
          <w:t xml:space="preserve">ebriceno@mcj.go.cr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Después de revisados y con nuestras observaciones y/o autorización usted deberá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IMPRIMIR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por ambos lados de la hoja tamaño carta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-,  un ORIGINAL y tres copias del formulario   “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SOLICITUD PARA CONTRATO DE ESTUDIO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” la que presentará debidamente avalada por la jefatura inmediata,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esta deberá suscribirse antes de inicio del curso lectivo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Las firmas son originales en cada tanto.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Después de revisados y con nuestras observaciones y/o autorización usted deberá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IMPRIMIR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por ambos lados de la hoja tamaño carta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-, un ORIGINAL  y tres copias del formulario “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CONTRATO DE ESTUDIO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” (Las firmas son originales en cada tanto ) debidamente completado por él/la funcionario/a regular  interesado/a,  teniendo en consideración lo siguiente: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Todas las firmas, tanto de él/la servidor/a interesado/a como de su fiador/a y de la jefatura que avala la gestión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DEBEN SER ORIGINALES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en tinta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azul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; en los todos documentos de la “solicitud” y del “contrato”. POR FAVOR: él/la beneficiario/a y su fiador/a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No deben escribir las fechas cuando firmen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Los formularios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no deben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presentar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faltas ortográficas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tachaduras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borrones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manchas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malas impresiones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suciedades adheridas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u otra condición que haga dudar del contrato 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imprimirse todo en tinta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color negra,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por ambos lados de la hoja tamaño carta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Aportar una copia –escaneada o digital-  de la “CONSTANCIA DE MATRÍCULA Y HORARIO” firmados por el/la profesor/a respectivo/a y sellada por la Escuela o Facultad respectiva de la Universidad, (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esto solo cuando el comprobante de matrícula no indique horario o sea diferente a la hora real de impartir lecciones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Aportar una fotocopia –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escaneada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digital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  LEGIBLE del COMPROBANTE DE MATRÍCULA. (en caso de matrícula por Internet, deberá ser sellada por la Escuela o Facultad respectiva de la Universidad).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Aportar una copia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escaneada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de las CONSTANCIAS DE SALARIO del él/la interesado/a y de su fiador/a.   (Él / la   fiador/a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DEBERÁ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ser funcionario/a del Sector Público en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PROPIEDAD,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 libre de embargo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Aportar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una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copia –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escaneada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LEGIBLE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de las cédulas de identidad, de él/la interesado/a y su fiador/a.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Los documentos deben ser completados directamente en la computadora, los cuales se podrán solicitar por medio de correo electrónico, además se pueden copiar en una unidad USB (c/c “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llave maya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”).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Una vez concluido el periodo lectivo él/la estudiante contará con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30 día naturales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para presentar –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escaneado o digital de la “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u w:val="single"/>
          <w:vertAlign w:val="baseline"/>
          <w:rtl w:val="0"/>
        </w:rPr>
        <w:t xml:space="preserve">web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” universitaria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 el respectiva INFORME de calificaciones emitida por la Escuela o Facultad de la Universidad, ante el PROCESO GESTIÓN DEL DESARROLLO, de lo contrario podría iniciarse el cobro administrativo, cumpliéndose con el debido proceso y no se le renovarán nuevos contratos.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Una vez recibido en nuestra oficina en orden y correctamente todos los documentos, y mientras que se gestionan las firmas de jerarcas, Le daremos un PERMISO PROVISIONAL para que pueda asistir a lecciones.</w:t>
      </w:r>
    </w:p>
    <w:p w:rsidR="00000000" w:rsidDel="00000000" w:rsidP="00000000" w:rsidRDefault="00000000" w:rsidRPr="00000000">
      <w:pPr>
        <w:ind w:left="1080" w:firstLine="0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0"/>
        <w:tblGridChange w:id="0">
          <w:tblGrid>
            <w:gridCol w:w="9100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PARA MAYOR INFORMACIÓN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480"/>
                <w:tab w:val="left" w:pos="7475"/>
              </w:tabs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18"/>
                <w:szCs w:val="18"/>
                <w:vertAlign w:val="baseline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los teléfonos:  2255-3765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2255-3638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2255-3190, extensiones: 221,  167</w:t>
            </w:r>
          </w:p>
          <w:p w:rsidR="00000000" w:rsidDel="00000000" w:rsidP="00000000" w:rsidRDefault="00000000" w:rsidRPr="00000000">
            <w:pPr>
              <w:tabs>
                <w:tab w:val="center" w:pos="4480"/>
                <w:tab w:val="left" w:pos="7475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8"/>
                  <w:szCs w:val="28"/>
                  <w:u w:val="none"/>
                  <w:vertAlign w:val="baseline"/>
                  <w:rtl w:val="0"/>
                </w:rPr>
                <w:t xml:space="preserve">golmos@mcj.go.cr</w:t>
              </w:r>
            </w:hyperlink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       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8"/>
                  <w:szCs w:val="28"/>
                  <w:u w:val="none"/>
                  <w:vertAlign w:val="baseline"/>
                  <w:rtl w:val="0"/>
                </w:rPr>
                <w:t xml:space="preserve">ebriceno@mcj.go.cr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PROCESO GESTIÓN DEL DESARROLLO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2" w:w="12242"/>
      <w:pgMar w:bottom="709" w:top="180" w:left="851" w:right="6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Arial" w:cs="Arial" w:eastAsia="Arial" w:hAnsi="Arial"/>
        <w:sz w:val="12"/>
        <w:szCs w:val="12"/>
        <w:vertAlign w:val="baseline"/>
      </w:rPr>
    </w:pPr>
    <w:r w:rsidDel="00000000" w:rsidR="00000000" w:rsidRPr="00000000">
      <w:rPr>
        <w:rFonts w:ascii="Arial" w:cs="Arial" w:eastAsia="Arial" w:hAnsi="Arial"/>
        <w:sz w:val="12"/>
        <w:szCs w:val="12"/>
        <w:vertAlign w:val="baseline"/>
        <w:rtl w:val="0"/>
      </w:rPr>
      <w:t xml:space="preserve">       GOC/ enero 2017.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9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>
        <w:b w:val="1"/>
        <w:i w:val="0"/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Arial" w:cs="Arial" w:eastAsia="Arial" w:hAnsi="Arial"/>
        <w:vertAlign w:val="baseline"/>
      </w:rPr>
    </w:lvl>
    <w:lvl w:ilvl="2">
      <w:start w:val="1"/>
      <w:numFmt w:val="decimal"/>
      <w:lvlText w:val="%3."/>
      <w:lvlJc w:val="left"/>
      <w:pPr>
        <w:ind w:left="24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20" w:right="0" w:hanging="360"/>
      <w:contextualSpacing w:val="0"/>
      <w:jc w:val="center"/>
    </w:pPr>
    <w:rPr>
      <w:rFonts w:ascii="Arial" w:cs="Arial" w:eastAsia="Arial" w:hAnsi="Arial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mailto:ebriceno@mcj.go.cr" TargetMode="External"/><Relationship Id="rId5" Type="http://schemas.openxmlformats.org/officeDocument/2006/relationships/image" Target="media/image2.png"/><Relationship Id="rId6" Type="http://schemas.openxmlformats.org/officeDocument/2006/relationships/hyperlink" Target="mailto:golmos@mcj.go.cr" TargetMode="External"/><Relationship Id="rId7" Type="http://schemas.openxmlformats.org/officeDocument/2006/relationships/hyperlink" Target="mailto:ebriceno@mcj.go.cr" TargetMode="External"/><Relationship Id="rId8" Type="http://schemas.openxmlformats.org/officeDocument/2006/relationships/hyperlink" Target="mailto:golmos@mcj.go.cr" TargetMode="External"/></Relationships>
</file>